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492" w:rsidRDefault="00B65492" w:rsidP="00B65492">
      <w:pPr>
        <w:jc w:val="both"/>
        <w:rPr>
          <w:rFonts w:cstheme="minorHAnsi"/>
          <w:sz w:val="26"/>
          <w:szCs w:val="26"/>
        </w:rPr>
      </w:pPr>
    </w:p>
    <w:p w:rsidR="00B65492" w:rsidRPr="00067FFE" w:rsidRDefault="00B65492" w:rsidP="00B65492">
      <w:pPr>
        <w:jc w:val="center"/>
        <w:rPr>
          <w:rFonts w:cstheme="minorHAnsi"/>
          <w:b/>
          <w:caps/>
          <w:sz w:val="32"/>
          <w:szCs w:val="32"/>
        </w:rPr>
      </w:pPr>
      <w:proofErr w:type="gramStart"/>
      <w:r>
        <w:rPr>
          <w:rFonts w:cstheme="minorHAnsi"/>
          <w:b/>
          <w:caps/>
          <w:sz w:val="32"/>
          <w:szCs w:val="32"/>
        </w:rPr>
        <w:t xml:space="preserve">3:5 </w:t>
      </w:r>
      <w:r w:rsidRPr="00067FFE">
        <w:rPr>
          <w:rFonts w:cstheme="minorHAnsi"/>
          <w:b/>
          <w:caps/>
          <w:sz w:val="32"/>
          <w:szCs w:val="32"/>
        </w:rPr>
        <w:t>corporate governance</w:t>
      </w:r>
      <w:proofErr w:type="gramEnd"/>
      <w:r w:rsidRPr="00067FFE">
        <w:rPr>
          <w:rFonts w:cstheme="minorHAnsi"/>
          <w:b/>
          <w:caps/>
          <w:sz w:val="32"/>
          <w:szCs w:val="32"/>
        </w:rPr>
        <w:t xml:space="preserve"> </w:t>
      </w:r>
    </w:p>
    <w:p w:rsidR="00B65492" w:rsidRPr="00966412" w:rsidRDefault="00B65492" w:rsidP="00B65492">
      <w:pPr>
        <w:tabs>
          <w:tab w:val="left" w:pos="180"/>
          <w:tab w:val="left" w:pos="1481"/>
        </w:tabs>
        <w:spacing w:before="80"/>
        <w:rPr>
          <w:rFonts w:cstheme="minorHAnsi"/>
          <w:b/>
          <w:sz w:val="28"/>
          <w:szCs w:val="24"/>
        </w:rPr>
      </w:pPr>
      <w:r w:rsidRPr="00966412">
        <w:rPr>
          <w:rFonts w:cstheme="minorHAnsi"/>
          <w:b/>
          <w:sz w:val="28"/>
          <w:szCs w:val="24"/>
        </w:rPr>
        <w:t xml:space="preserve">Course </w:t>
      </w:r>
      <w:r>
        <w:rPr>
          <w:rFonts w:cstheme="minorHAnsi"/>
          <w:b/>
          <w:sz w:val="28"/>
          <w:szCs w:val="24"/>
        </w:rPr>
        <w:t>Objective</w:t>
      </w:r>
    </w:p>
    <w:p w:rsidR="00B65492" w:rsidRPr="00C832A6" w:rsidRDefault="00B65492" w:rsidP="004C54D6">
      <w:pPr>
        <w:pStyle w:val="TableParagraph"/>
        <w:numPr>
          <w:ilvl w:val="0"/>
          <w:numId w:val="15"/>
        </w:numPr>
        <w:spacing w:before="0"/>
        <w:rPr>
          <w:sz w:val="24"/>
          <w:szCs w:val="24"/>
        </w:rPr>
      </w:pPr>
      <w:r w:rsidRPr="00C832A6">
        <w:rPr>
          <w:sz w:val="24"/>
          <w:szCs w:val="24"/>
        </w:rPr>
        <w:t>To provide an in-depth study of the Evolution and Development of Corporate Governance.</w:t>
      </w:r>
    </w:p>
    <w:p w:rsidR="00B65492" w:rsidRPr="00C832A6" w:rsidRDefault="00B65492" w:rsidP="004C54D6">
      <w:pPr>
        <w:pStyle w:val="TableParagraph"/>
        <w:numPr>
          <w:ilvl w:val="0"/>
          <w:numId w:val="15"/>
        </w:numPr>
        <w:spacing w:before="0"/>
        <w:rPr>
          <w:sz w:val="24"/>
          <w:szCs w:val="24"/>
        </w:rPr>
      </w:pPr>
      <w:r>
        <w:rPr>
          <w:sz w:val="24"/>
          <w:szCs w:val="24"/>
        </w:rPr>
        <w:t>Get</w:t>
      </w:r>
      <w:r w:rsidRPr="00C832A6">
        <w:rPr>
          <w:sz w:val="24"/>
          <w:szCs w:val="24"/>
        </w:rPr>
        <w:t xml:space="preserve"> detailed insight into the concept, issues and practices that governs the corporate sector.</w:t>
      </w:r>
    </w:p>
    <w:p w:rsidR="00B65492" w:rsidRPr="00C832A6" w:rsidRDefault="00B65492" w:rsidP="004C54D6">
      <w:pPr>
        <w:pStyle w:val="ListParagraph"/>
        <w:numPr>
          <w:ilvl w:val="0"/>
          <w:numId w:val="15"/>
        </w:numPr>
        <w:spacing w:after="0" w:line="240" w:lineRule="auto"/>
        <w:jc w:val="both"/>
        <w:rPr>
          <w:rFonts w:cstheme="minorHAnsi"/>
          <w:sz w:val="24"/>
          <w:szCs w:val="24"/>
        </w:rPr>
      </w:pPr>
      <w:r w:rsidRPr="00C832A6">
        <w:rPr>
          <w:rFonts w:cstheme="minorHAnsi"/>
          <w:sz w:val="24"/>
          <w:szCs w:val="24"/>
        </w:rPr>
        <w:t>To provide expert knowledge of legal and regulatory framework of corporate governance</w:t>
      </w:r>
    </w:p>
    <w:p w:rsidR="00B65492" w:rsidRPr="00C832A6" w:rsidRDefault="00B65492" w:rsidP="004C54D6">
      <w:pPr>
        <w:pStyle w:val="ListParagraph"/>
        <w:numPr>
          <w:ilvl w:val="0"/>
          <w:numId w:val="15"/>
        </w:numPr>
        <w:spacing w:after="0" w:line="240" w:lineRule="auto"/>
        <w:jc w:val="both"/>
        <w:rPr>
          <w:rFonts w:cstheme="minorHAnsi"/>
          <w:sz w:val="24"/>
          <w:szCs w:val="24"/>
        </w:rPr>
      </w:pPr>
      <w:r w:rsidRPr="00C832A6">
        <w:rPr>
          <w:rFonts w:cstheme="minorHAnsi"/>
          <w:sz w:val="24"/>
          <w:szCs w:val="24"/>
        </w:rPr>
        <w:t>To understand functioning of the board committees</w:t>
      </w:r>
    </w:p>
    <w:p w:rsidR="00B65492" w:rsidRPr="00C832A6" w:rsidRDefault="00B65492" w:rsidP="004C54D6">
      <w:pPr>
        <w:pStyle w:val="TableParagraph"/>
        <w:numPr>
          <w:ilvl w:val="0"/>
          <w:numId w:val="15"/>
        </w:numPr>
        <w:spacing w:before="1"/>
        <w:ind w:right="12"/>
        <w:rPr>
          <w:sz w:val="24"/>
          <w:szCs w:val="24"/>
        </w:rPr>
      </w:pPr>
      <w:r w:rsidRPr="00C832A6">
        <w:rPr>
          <w:sz w:val="24"/>
          <w:szCs w:val="24"/>
        </w:rPr>
        <w:t>To provide thorough knowledge of the global trends and developments so as to have an integrated view of the entire framework for corporate governance.</w:t>
      </w:r>
    </w:p>
    <w:p w:rsidR="00B65492" w:rsidRPr="00C832A6" w:rsidRDefault="00B65492" w:rsidP="00B65492">
      <w:pPr>
        <w:spacing w:after="0" w:line="240" w:lineRule="auto"/>
        <w:jc w:val="both"/>
        <w:rPr>
          <w:rFonts w:cstheme="minorHAnsi"/>
          <w:sz w:val="24"/>
          <w:szCs w:val="24"/>
        </w:rPr>
      </w:pPr>
    </w:p>
    <w:p w:rsidR="00B65492" w:rsidRPr="00F215BF" w:rsidRDefault="00B65492" w:rsidP="00B65492">
      <w:pPr>
        <w:tabs>
          <w:tab w:val="left" w:pos="180"/>
          <w:tab w:val="left" w:pos="1481"/>
        </w:tabs>
        <w:spacing w:before="80" w:after="0"/>
        <w:rPr>
          <w:rFonts w:cstheme="minorHAnsi"/>
          <w:b/>
          <w:sz w:val="28"/>
          <w:szCs w:val="24"/>
        </w:rPr>
      </w:pPr>
      <w:r w:rsidRPr="00F215BF">
        <w:rPr>
          <w:rFonts w:cstheme="minorHAnsi"/>
          <w:b/>
          <w:sz w:val="28"/>
          <w:szCs w:val="24"/>
        </w:rPr>
        <w:t>Course Learning Outcomes</w:t>
      </w:r>
    </w:p>
    <w:p w:rsidR="00B65492" w:rsidRPr="00F215BF" w:rsidRDefault="00B65492" w:rsidP="00B65492">
      <w:pPr>
        <w:tabs>
          <w:tab w:val="left" w:pos="180"/>
          <w:tab w:val="left" w:pos="1481"/>
        </w:tabs>
        <w:spacing w:before="80"/>
        <w:rPr>
          <w:rFonts w:cstheme="minorHAnsi"/>
          <w:sz w:val="24"/>
          <w:szCs w:val="24"/>
        </w:rPr>
      </w:pPr>
      <w:r w:rsidRPr="00F215BF">
        <w:rPr>
          <w:rFonts w:cstheme="minorHAnsi"/>
          <w:sz w:val="24"/>
          <w:szCs w:val="24"/>
        </w:rPr>
        <w:t xml:space="preserve"> Upon successful completion of the course, the student will be able to: </w:t>
      </w:r>
    </w:p>
    <w:p w:rsidR="00B65492" w:rsidRPr="00C832A6" w:rsidRDefault="00B65492" w:rsidP="00B65492">
      <w:pPr>
        <w:pStyle w:val="ListParagraph"/>
        <w:numPr>
          <w:ilvl w:val="0"/>
          <w:numId w:val="8"/>
        </w:numPr>
        <w:shd w:val="clear" w:color="auto" w:fill="FFFFFF"/>
        <w:spacing w:after="150" w:line="240" w:lineRule="auto"/>
        <w:ind w:left="360" w:firstLine="0"/>
        <w:jc w:val="both"/>
        <w:textAlignment w:val="baseline"/>
        <w:rPr>
          <w:rFonts w:ascii="Arial" w:eastAsia="Times New Roman" w:hAnsi="Arial" w:cs="Arial"/>
          <w:color w:val="000000"/>
          <w:sz w:val="21"/>
          <w:szCs w:val="21"/>
          <w:lang w:val="en-US"/>
        </w:rPr>
      </w:pPr>
      <w:r w:rsidRPr="00C832A6">
        <w:rPr>
          <w:rFonts w:ascii="Arial" w:eastAsia="Times New Roman" w:hAnsi="Arial" w:cs="Arial"/>
          <w:color w:val="000000"/>
          <w:sz w:val="21"/>
          <w:szCs w:val="21"/>
          <w:lang w:val="en-US"/>
        </w:rPr>
        <w:t>Learn the basics of corporate governance with its importance &amp; features.</w:t>
      </w:r>
    </w:p>
    <w:p w:rsidR="00B65492" w:rsidRPr="00C832A6" w:rsidRDefault="00B65492" w:rsidP="00B65492">
      <w:pPr>
        <w:pStyle w:val="NormalWeb"/>
        <w:numPr>
          <w:ilvl w:val="0"/>
          <w:numId w:val="2"/>
        </w:numPr>
        <w:shd w:val="clear" w:color="auto" w:fill="FFFFFF"/>
        <w:spacing w:before="120" w:beforeAutospacing="0" w:after="120" w:afterAutospacing="0"/>
        <w:rPr>
          <w:rFonts w:ascii="Arial" w:hAnsi="Arial" w:cs="Arial"/>
          <w:color w:val="000000"/>
          <w:sz w:val="21"/>
          <w:szCs w:val="21"/>
        </w:rPr>
      </w:pPr>
      <w:r w:rsidRPr="00C832A6">
        <w:rPr>
          <w:rFonts w:ascii="Arial" w:hAnsi="Arial" w:cs="Arial"/>
          <w:color w:val="000000"/>
          <w:sz w:val="21"/>
          <w:szCs w:val="21"/>
        </w:rPr>
        <w:t>provide a range of definitions of corporate governance</w:t>
      </w:r>
    </w:p>
    <w:p w:rsidR="00B65492" w:rsidRPr="00C832A6" w:rsidRDefault="00B65492" w:rsidP="00B65492">
      <w:pPr>
        <w:pStyle w:val="NormalWeb"/>
        <w:numPr>
          <w:ilvl w:val="0"/>
          <w:numId w:val="2"/>
        </w:numPr>
        <w:shd w:val="clear" w:color="auto" w:fill="FFFFFF"/>
        <w:spacing w:before="120" w:beforeAutospacing="0" w:after="120" w:afterAutospacing="0"/>
        <w:rPr>
          <w:rFonts w:ascii="Arial" w:hAnsi="Arial" w:cs="Arial"/>
          <w:color w:val="000000"/>
          <w:sz w:val="21"/>
          <w:szCs w:val="21"/>
        </w:rPr>
      </w:pPr>
      <w:r w:rsidRPr="00C832A6">
        <w:rPr>
          <w:rFonts w:ascii="Arial" w:hAnsi="Arial" w:cs="Arial"/>
          <w:color w:val="000000"/>
          <w:sz w:val="21"/>
          <w:szCs w:val="21"/>
        </w:rPr>
        <w:t>identify issues usually addressed by corporate governance structures</w:t>
      </w:r>
    </w:p>
    <w:p w:rsidR="00B65492" w:rsidRPr="00C832A6" w:rsidRDefault="00B65492" w:rsidP="00B65492">
      <w:pPr>
        <w:pStyle w:val="NormalWeb"/>
        <w:numPr>
          <w:ilvl w:val="0"/>
          <w:numId w:val="2"/>
        </w:numPr>
        <w:shd w:val="clear" w:color="auto" w:fill="FFFFFF"/>
        <w:spacing w:before="120" w:beforeAutospacing="0" w:after="120" w:afterAutospacing="0"/>
        <w:rPr>
          <w:rFonts w:ascii="Arial" w:hAnsi="Arial" w:cs="Arial"/>
          <w:color w:val="000000"/>
          <w:sz w:val="21"/>
          <w:szCs w:val="21"/>
        </w:rPr>
      </w:pPr>
      <w:proofErr w:type="spellStart"/>
      <w:r w:rsidRPr="00C832A6">
        <w:rPr>
          <w:rFonts w:ascii="Arial" w:hAnsi="Arial" w:cs="Arial"/>
          <w:color w:val="000000"/>
          <w:sz w:val="21"/>
          <w:szCs w:val="21"/>
        </w:rPr>
        <w:t>summarise</w:t>
      </w:r>
      <w:proofErr w:type="spellEnd"/>
      <w:r w:rsidRPr="00C832A6">
        <w:rPr>
          <w:rFonts w:ascii="Arial" w:hAnsi="Arial" w:cs="Arial"/>
          <w:color w:val="000000"/>
          <w:sz w:val="21"/>
          <w:szCs w:val="21"/>
        </w:rPr>
        <w:t xml:space="preserve"> </w:t>
      </w:r>
      <w:r>
        <w:rPr>
          <w:rFonts w:ascii="Arial" w:hAnsi="Arial" w:cs="Arial"/>
          <w:color w:val="000000"/>
          <w:sz w:val="21"/>
          <w:szCs w:val="21"/>
        </w:rPr>
        <w:t>legal and the regulatory framework of corporate governance</w:t>
      </w:r>
    </w:p>
    <w:p w:rsidR="00B65492" w:rsidRPr="00C832A6" w:rsidRDefault="00B65492" w:rsidP="00B65492">
      <w:pPr>
        <w:pStyle w:val="NormalWeb"/>
        <w:numPr>
          <w:ilvl w:val="0"/>
          <w:numId w:val="2"/>
        </w:numPr>
        <w:shd w:val="clear" w:color="auto" w:fill="FFFFFF"/>
        <w:spacing w:before="120" w:beforeAutospacing="0" w:after="120" w:afterAutospacing="0"/>
        <w:rPr>
          <w:rFonts w:ascii="Arial" w:hAnsi="Arial" w:cs="Arial"/>
          <w:color w:val="000000"/>
          <w:sz w:val="21"/>
          <w:szCs w:val="21"/>
        </w:rPr>
      </w:pPr>
      <w:proofErr w:type="gramStart"/>
      <w:r w:rsidRPr="00C832A6">
        <w:rPr>
          <w:rFonts w:ascii="Arial" w:hAnsi="Arial" w:cs="Arial"/>
          <w:color w:val="000000"/>
          <w:sz w:val="21"/>
          <w:szCs w:val="21"/>
        </w:rPr>
        <w:t>identify</w:t>
      </w:r>
      <w:proofErr w:type="gramEnd"/>
      <w:r w:rsidRPr="00C832A6">
        <w:rPr>
          <w:rFonts w:ascii="Arial" w:hAnsi="Arial" w:cs="Arial"/>
          <w:color w:val="000000"/>
          <w:sz w:val="21"/>
          <w:szCs w:val="21"/>
        </w:rPr>
        <w:t xml:space="preserve"> the other drivers of corporate governance, such as capital markets, shareholders and rating agencies.</w:t>
      </w:r>
    </w:p>
    <w:p w:rsidR="00B65492" w:rsidRPr="00C832A6" w:rsidRDefault="00B65492" w:rsidP="00B65492">
      <w:pPr>
        <w:jc w:val="both"/>
        <w:rPr>
          <w:rFonts w:ascii="Arial" w:eastAsia="Times New Roman" w:hAnsi="Arial" w:cs="Arial"/>
          <w:color w:val="000000"/>
          <w:sz w:val="21"/>
          <w:szCs w:val="21"/>
          <w:lang w:val="en-US"/>
        </w:rPr>
      </w:pPr>
    </w:p>
    <w:p w:rsidR="00B65492" w:rsidRDefault="00B65492" w:rsidP="00B65492">
      <w:pPr>
        <w:jc w:val="both"/>
        <w:rPr>
          <w:rFonts w:cstheme="minorHAnsi"/>
          <w:b/>
          <w:sz w:val="26"/>
          <w:szCs w:val="26"/>
        </w:rPr>
      </w:pPr>
      <w:r>
        <w:rPr>
          <w:rFonts w:cstheme="minorHAnsi"/>
          <w:b/>
          <w:sz w:val="26"/>
          <w:szCs w:val="26"/>
        </w:rPr>
        <w:t>UNIT-I</w:t>
      </w:r>
    </w:p>
    <w:p w:rsidR="00B65492" w:rsidRPr="000C014C" w:rsidRDefault="00B65492" w:rsidP="00B65492">
      <w:pPr>
        <w:pStyle w:val="TableParagraph"/>
        <w:tabs>
          <w:tab w:val="left" w:pos="817"/>
          <w:tab w:val="left" w:pos="818"/>
        </w:tabs>
        <w:spacing w:before="1"/>
        <w:ind w:left="456" w:firstLine="0"/>
        <w:jc w:val="both"/>
        <w:rPr>
          <w:rFonts w:asciiTheme="minorHAnsi" w:eastAsiaTheme="minorHAnsi" w:hAnsiTheme="minorHAnsi" w:cstheme="minorHAnsi"/>
          <w:sz w:val="26"/>
          <w:szCs w:val="26"/>
          <w:lang w:val="en-IN" w:bidi="ar-SA"/>
        </w:rPr>
      </w:pPr>
      <w:r w:rsidRPr="000C014C">
        <w:rPr>
          <w:rFonts w:asciiTheme="minorHAnsi" w:eastAsiaTheme="minorHAnsi" w:hAnsiTheme="minorHAnsi" w:cstheme="minorHAnsi"/>
          <w:b/>
          <w:sz w:val="26"/>
          <w:szCs w:val="26"/>
          <w:lang w:val="en-IN" w:bidi="ar-SA"/>
        </w:rPr>
        <w:t>Evolution of Corporate Governance</w:t>
      </w:r>
      <w:r w:rsidRPr="000C014C">
        <w:rPr>
          <w:rFonts w:asciiTheme="minorHAnsi" w:eastAsiaTheme="minorHAnsi" w:hAnsiTheme="minorHAnsi" w:cstheme="minorHAnsi"/>
          <w:sz w:val="26"/>
          <w:szCs w:val="26"/>
          <w:lang w:val="en-IN" w:bidi="ar-SA"/>
        </w:rPr>
        <w:t xml:space="preserve"> – Ancient and Modern Concept-Concept of Corporate Governance, Generation of Value from Performance-Principles of Corporate Governance-Beneficiaries of Corporate Governance; Shareholder Activism and changing role of Institutional Investors-Business Ethics vis-à-vis Corporate Governance-Corporate Governance in various organizations-Corporate Social Responsibilities and good corporate citizenship</w:t>
      </w:r>
    </w:p>
    <w:p w:rsidR="00B65492" w:rsidRPr="000C014C" w:rsidRDefault="00B65492" w:rsidP="00B65492">
      <w:pPr>
        <w:jc w:val="both"/>
        <w:rPr>
          <w:rFonts w:cstheme="minorHAnsi"/>
          <w:sz w:val="26"/>
          <w:szCs w:val="26"/>
        </w:rPr>
      </w:pPr>
    </w:p>
    <w:p w:rsidR="00B65492" w:rsidRDefault="00B65492" w:rsidP="00B65492">
      <w:pPr>
        <w:jc w:val="both"/>
        <w:rPr>
          <w:rFonts w:cstheme="minorHAnsi"/>
          <w:b/>
          <w:sz w:val="26"/>
          <w:szCs w:val="26"/>
        </w:rPr>
      </w:pPr>
      <w:r w:rsidRPr="00F215BF">
        <w:rPr>
          <w:rFonts w:cstheme="minorHAnsi"/>
          <w:sz w:val="26"/>
          <w:szCs w:val="26"/>
        </w:rPr>
        <w:t xml:space="preserve"> </w:t>
      </w:r>
      <w:r>
        <w:rPr>
          <w:rFonts w:cstheme="minorHAnsi"/>
          <w:b/>
          <w:sz w:val="26"/>
          <w:szCs w:val="26"/>
        </w:rPr>
        <w:t>UNIT-II</w:t>
      </w:r>
    </w:p>
    <w:p w:rsidR="00B65492" w:rsidRPr="000C014C" w:rsidRDefault="00B65492" w:rsidP="00B65492">
      <w:pPr>
        <w:pStyle w:val="TableParagraph"/>
        <w:tabs>
          <w:tab w:val="left" w:pos="858"/>
          <w:tab w:val="left" w:pos="859"/>
        </w:tabs>
        <w:spacing w:before="0"/>
        <w:ind w:left="456" w:firstLine="0"/>
        <w:jc w:val="both"/>
        <w:rPr>
          <w:rFonts w:asciiTheme="minorHAnsi" w:eastAsiaTheme="minorHAnsi" w:hAnsiTheme="minorHAnsi" w:cstheme="minorHAnsi"/>
          <w:sz w:val="26"/>
          <w:szCs w:val="26"/>
          <w:lang w:val="en-IN" w:bidi="ar-SA"/>
        </w:rPr>
      </w:pPr>
      <w:r w:rsidRPr="000C014C">
        <w:rPr>
          <w:rFonts w:asciiTheme="minorHAnsi" w:eastAsiaTheme="minorHAnsi" w:hAnsiTheme="minorHAnsi" w:cstheme="minorHAnsi"/>
          <w:b/>
          <w:sz w:val="26"/>
          <w:szCs w:val="26"/>
          <w:lang w:val="en-IN" w:bidi="ar-SA"/>
        </w:rPr>
        <w:t>Corporate Business Ownership Structure-</w:t>
      </w:r>
      <w:r w:rsidRPr="000C014C">
        <w:rPr>
          <w:rFonts w:asciiTheme="minorHAnsi" w:eastAsiaTheme="minorHAnsi" w:hAnsiTheme="minorHAnsi" w:cstheme="minorHAnsi"/>
          <w:sz w:val="26"/>
          <w:szCs w:val="26"/>
          <w:lang w:val="en-IN" w:bidi="ar-SA"/>
        </w:rPr>
        <w:t>Board of Directors – Role, Composition, Systems and Procedures</w:t>
      </w:r>
      <w:r>
        <w:rPr>
          <w:rFonts w:asciiTheme="minorHAnsi" w:eastAsiaTheme="minorHAnsi" w:hAnsiTheme="minorHAnsi" w:cstheme="minorHAnsi"/>
          <w:sz w:val="26"/>
          <w:szCs w:val="26"/>
          <w:lang w:val="en-IN" w:bidi="ar-SA"/>
        </w:rPr>
        <w:t>-</w:t>
      </w:r>
      <w:r w:rsidRPr="000C014C">
        <w:rPr>
          <w:rFonts w:asciiTheme="minorHAnsi" w:eastAsiaTheme="minorHAnsi" w:hAnsiTheme="minorHAnsi" w:cstheme="minorHAnsi"/>
          <w:sz w:val="26"/>
          <w:szCs w:val="26"/>
          <w:lang w:val="en-IN" w:bidi="ar-SA"/>
        </w:rPr>
        <w:t>Fiduciary relationship-Types of Directors- Promoter/Nominee/Shareholder/Independent-Rights, Duties and Responsibilities of Directors; Role of Directors and -Scope and Responsibilities and competencies for directors-Executive Management Process, Executive Remuneration-Functional Committees of Board-Rights and Relationship of Shareholders and Other Stakeholders</w:t>
      </w:r>
    </w:p>
    <w:p w:rsidR="00B65492" w:rsidRPr="00F215BF" w:rsidRDefault="00B65492" w:rsidP="00B65492">
      <w:pPr>
        <w:jc w:val="both"/>
        <w:rPr>
          <w:rFonts w:cstheme="minorHAnsi"/>
          <w:b/>
          <w:sz w:val="26"/>
          <w:szCs w:val="26"/>
        </w:rPr>
      </w:pPr>
    </w:p>
    <w:p w:rsidR="00B65492" w:rsidRDefault="00B65492" w:rsidP="00B65492">
      <w:pPr>
        <w:jc w:val="both"/>
        <w:rPr>
          <w:rFonts w:cstheme="minorHAnsi"/>
          <w:b/>
          <w:sz w:val="26"/>
          <w:szCs w:val="26"/>
        </w:rPr>
      </w:pPr>
      <w:r>
        <w:rPr>
          <w:rFonts w:cstheme="minorHAnsi"/>
          <w:b/>
          <w:sz w:val="26"/>
          <w:szCs w:val="26"/>
        </w:rPr>
        <w:t>UNIT-III</w:t>
      </w:r>
      <w:r w:rsidRPr="00F215BF">
        <w:rPr>
          <w:rFonts w:cstheme="minorHAnsi"/>
          <w:b/>
          <w:sz w:val="26"/>
          <w:szCs w:val="26"/>
        </w:rPr>
        <w:t xml:space="preserve"> </w:t>
      </w:r>
    </w:p>
    <w:p w:rsidR="00B65492" w:rsidRPr="00067FFE" w:rsidRDefault="00B65492" w:rsidP="00B65492">
      <w:pPr>
        <w:pStyle w:val="TableParagraph"/>
        <w:tabs>
          <w:tab w:val="left" w:pos="858"/>
          <w:tab w:val="left" w:pos="859"/>
        </w:tabs>
        <w:spacing w:before="0"/>
        <w:ind w:left="456" w:firstLine="0"/>
        <w:jc w:val="both"/>
        <w:rPr>
          <w:rFonts w:asciiTheme="minorHAnsi" w:eastAsiaTheme="minorHAnsi" w:hAnsiTheme="minorHAnsi" w:cstheme="minorHAnsi"/>
          <w:sz w:val="26"/>
          <w:szCs w:val="26"/>
          <w:lang w:val="en-IN" w:bidi="ar-SA"/>
        </w:rPr>
      </w:pPr>
      <w:r w:rsidRPr="00067FFE">
        <w:rPr>
          <w:rFonts w:asciiTheme="minorHAnsi" w:eastAsiaTheme="minorHAnsi" w:hAnsiTheme="minorHAnsi" w:cstheme="minorHAnsi"/>
          <w:sz w:val="26"/>
          <w:szCs w:val="26"/>
          <w:lang w:val="en-IN" w:bidi="ar-SA"/>
        </w:rPr>
        <w:t>Need for Legislation of Corporate Governance-Legislative Provisions of Corporate Governance in Companies Act 1956, Securities (Contracts and Regulations) Act, 1956 (SCRA), Depositories Act 1996, Securities and Exchange Board of India Act 1992, Listing Agreement, Banking Regulation Act, 1949 and Other Corporate Laws</w:t>
      </w:r>
      <w:r>
        <w:rPr>
          <w:rFonts w:asciiTheme="minorHAnsi" w:eastAsiaTheme="minorHAnsi" w:hAnsiTheme="minorHAnsi" w:cstheme="minorHAnsi"/>
          <w:sz w:val="26"/>
          <w:szCs w:val="26"/>
          <w:lang w:val="en-IN" w:bidi="ar-SA"/>
        </w:rPr>
        <w:t>-</w:t>
      </w:r>
      <w:r w:rsidRPr="00067FFE">
        <w:rPr>
          <w:rFonts w:asciiTheme="minorHAnsi" w:eastAsiaTheme="minorHAnsi" w:hAnsiTheme="minorHAnsi" w:cstheme="minorHAnsi"/>
          <w:sz w:val="26"/>
          <w:szCs w:val="26"/>
          <w:lang w:val="en-IN" w:bidi="ar-SA"/>
        </w:rPr>
        <w:t>Legal Provisions relating to Investor Protection</w:t>
      </w:r>
    </w:p>
    <w:p w:rsidR="00B65492" w:rsidRPr="00067FFE" w:rsidRDefault="00B65492" w:rsidP="00B65492">
      <w:pPr>
        <w:pStyle w:val="TableParagraph"/>
        <w:tabs>
          <w:tab w:val="left" w:pos="858"/>
          <w:tab w:val="left" w:pos="859"/>
        </w:tabs>
        <w:spacing w:before="0"/>
        <w:ind w:left="456" w:firstLine="0"/>
        <w:jc w:val="both"/>
        <w:rPr>
          <w:rFonts w:asciiTheme="minorHAnsi" w:eastAsiaTheme="minorHAnsi" w:hAnsiTheme="minorHAnsi" w:cstheme="minorHAnsi"/>
          <w:sz w:val="26"/>
          <w:szCs w:val="26"/>
          <w:lang w:val="en-IN" w:bidi="ar-SA"/>
        </w:rPr>
      </w:pPr>
    </w:p>
    <w:p w:rsidR="00B65492" w:rsidRPr="00F215BF" w:rsidRDefault="00B65492" w:rsidP="00B65492">
      <w:pPr>
        <w:jc w:val="both"/>
        <w:rPr>
          <w:rFonts w:cstheme="minorHAnsi"/>
          <w:b/>
          <w:sz w:val="26"/>
          <w:szCs w:val="26"/>
        </w:rPr>
      </w:pPr>
      <w:r>
        <w:rPr>
          <w:rFonts w:cstheme="minorHAnsi"/>
          <w:b/>
          <w:sz w:val="26"/>
          <w:szCs w:val="26"/>
        </w:rPr>
        <w:t>UNIT-IV</w:t>
      </w:r>
    </w:p>
    <w:p w:rsidR="00B65492" w:rsidRPr="00067FFE" w:rsidRDefault="00B65492" w:rsidP="00B65492">
      <w:pPr>
        <w:pStyle w:val="TableParagraph"/>
        <w:tabs>
          <w:tab w:val="left" w:pos="817"/>
          <w:tab w:val="left" w:pos="818"/>
        </w:tabs>
        <w:spacing w:before="0"/>
        <w:ind w:left="461" w:right="101" w:firstLine="0"/>
        <w:rPr>
          <w:rFonts w:asciiTheme="minorHAnsi" w:eastAsiaTheme="minorHAnsi" w:hAnsiTheme="minorHAnsi" w:cstheme="minorHAnsi"/>
          <w:sz w:val="26"/>
          <w:szCs w:val="26"/>
          <w:lang w:val="en-IN" w:bidi="ar-SA"/>
        </w:rPr>
      </w:pPr>
      <w:r w:rsidRPr="00067FFE">
        <w:rPr>
          <w:rFonts w:asciiTheme="minorHAnsi" w:eastAsiaTheme="minorHAnsi" w:hAnsiTheme="minorHAnsi" w:cstheme="minorHAnsi"/>
          <w:sz w:val="26"/>
          <w:szCs w:val="26"/>
          <w:lang w:val="en-IN" w:bidi="ar-SA"/>
        </w:rPr>
        <w:t>Board Committees - Audit Committee, Remuneration Committee, Shareholders’ Grievance Committee, other committees-Need, Functions and Advantages of Committee Management-Constitution and Scope of Board Committees-Board Committees’ Charter- -Independence of Members of Board Committees</w:t>
      </w:r>
      <w:r>
        <w:rPr>
          <w:rFonts w:asciiTheme="minorHAnsi" w:eastAsiaTheme="minorHAnsi" w:hAnsiTheme="minorHAnsi" w:cstheme="minorHAnsi"/>
          <w:sz w:val="26"/>
          <w:szCs w:val="26"/>
          <w:lang w:val="en-IN" w:bidi="ar-SA"/>
        </w:rPr>
        <w:t>-</w:t>
      </w:r>
      <w:r w:rsidRPr="00067FFE">
        <w:rPr>
          <w:rFonts w:asciiTheme="minorHAnsi" w:eastAsiaTheme="minorHAnsi" w:hAnsiTheme="minorHAnsi" w:cstheme="minorHAnsi"/>
          <w:sz w:val="26"/>
          <w:szCs w:val="26"/>
          <w:lang w:val="en-IN" w:bidi="ar-SA"/>
        </w:rPr>
        <w:t>Disclosures in Annual Report; Integrity of Financial Reporting Systems-Role of Professionals in Board Committees</w:t>
      </w:r>
    </w:p>
    <w:p w:rsidR="00B65492" w:rsidRDefault="00B65492" w:rsidP="00B65492">
      <w:pPr>
        <w:jc w:val="both"/>
        <w:rPr>
          <w:rFonts w:cstheme="minorHAnsi"/>
          <w:b/>
          <w:sz w:val="26"/>
          <w:szCs w:val="26"/>
        </w:rPr>
      </w:pPr>
    </w:p>
    <w:p w:rsidR="00B65492" w:rsidRPr="00F215BF" w:rsidRDefault="00B65492" w:rsidP="00B65492">
      <w:pPr>
        <w:jc w:val="both"/>
        <w:rPr>
          <w:rFonts w:cstheme="minorHAnsi"/>
          <w:b/>
          <w:sz w:val="26"/>
          <w:szCs w:val="26"/>
        </w:rPr>
      </w:pPr>
      <w:r>
        <w:rPr>
          <w:rFonts w:cstheme="minorHAnsi"/>
          <w:b/>
          <w:sz w:val="26"/>
          <w:szCs w:val="26"/>
        </w:rPr>
        <w:t>UNIT-V</w:t>
      </w:r>
    </w:p>
    <w:p w:rsidR="00B65492" w:rsidRPr="00067FFE" w:rsidRDefault="00B65492" w:rsidP="00B65492">
      <w:pPr>
        <w:pStyle w:val="TableParagraph"/>
        <w:tabs>
          <w:tab w:val="left" w:pos="858"/>
          <w:tab w:val="left" w:pos="859"/>
        </w:tabs>
        <w:spacing w:before="1"/>
        <w:ind w:left="456" w:firstLine="0"/>
        <w:jc w:val="both"/>
        <w:rPr>
          <w:rFonts w:asciiTheme="minorHAnsi" w:eastAsiaTheme="minorHAnsi" w:hAnsiTheme="minorHAnsi" w:cstheme="minorHAnsi"/>
          <w:sz w:val="26"/>
          <w:szCs w:val="26"/>
          <w:lang w:val="en-IN" w:bidi="ar-SA"/>
        </w:rPr>
      </w:pPr>
      <w:r w:rsidRPr="00067FFE">
        <w:rPr>
          <w:rFonts w:asciiTheme="minorHAnsi" w:eastAsiaTheme="minorHAnsi" w:hAnsiTheme="minorHAnsi" w:cstheme="minorHAnsi"/>
          <w:sz w:val="26"/>
          <w:szCs w:val="26"/>
          <w:lang w:val="en-IN" w:bidi="ar-SA"/>
        </w:rPr>
        <w:t xml:space="preserve">Major Expert Committees’ Reports- India (including </w:t>
      </w:r>
      <w:proofErr w:type="spellStart"/>
      <w:r w:rsidRPr="00067FFE">
        <w:rPr>
          <w:rFonts w:asciiTheme="minorHAnsi" w:eastAsiaTheme="minorHAnsi" w:hAnsiTheme="minorHAnsi" w:cstheme="minorHAnsi"/>
          <w:sz w:val="26"/>
          <w:szCs w:val="26"/>
          <w:lang w:val="en-IN" w:bidi="ar-SA"/>
        </w:rPr>
        <w:t>Naresh</w:t>
      </w:r>
      <w:proofErr w:type="spellEnd"/>
      <w:r w:rsidRPr="00067FFE">
        <w:rPr>
          <w:rFonts w:asciiTheme="minorHAnsi" w:eastAsiaTheme="minorHAnsi" w:hAnsiTheme="minorHAnsi" w:cstheme="minorHAnsi"/>
          <w:sz w:val="26"/>
          <w:szCs w:val="26"/>
          <w:lang w:val="en-IN" w:bidi="ar-SA"/>
        </w:rPr>
        <w:t xml:space="preserve"> Chandra Report) and Abroad-Study of Codes of Corporate Governance-Joint Ventures-National and International-Case Studies on Corporate business ownership structure, Core competency vis-à-vis diversified business, Working of Transnational Corporations, Public Vs Private Sector – National and International</w:t>
      </w:r>
    </w:p>
    <w:p w:rsidR="00B65492" w:rsidRDefault="00B65492" w:rsidP="00B65492">
      <w:pPr>
        <w:jc w:val="both"/>
        <w:rPr>
          <w:rFonts w:cstheme="minorHAnsi"/>
          <w:b/>
          <w:caps/>
          <w:sz w:val="24"/>
        </w:rPr>
      </w:pPr>
    </w:p>
    <w:p w:rsidR="00B65492" w:rsidRDefault="00B65492" w:rsidP="00B65492">
      <w:pPr>
        <w:jc w:val="both"/>
        <w:rPr>
          <w:rFonts w:cstheme="minorHAnsi"/>
          <w:sz w:val="26"/>
          <w:szCs w:val="26"/>
        </w:rPr>
      </w:pPr>
      <w:r w:rsidRPr="00B53D1F">
        <w:rPr>
          <w:rFonts w:cstheme="minorHAnsi"/>
          <w:b/>
          <w:caps/>
          <w:sz w:val="24"/>
        </w:rPr>
        <w:t>Suggested Readings</w:t>
      </w:r>
    </w:p>
    <w:p w:rsidR="00B65492" w:rsidRPr="004C54D6" w:rsidRDefault="00B65492" w:rsidP="004C54D6">
      <w:pPr>
        <w:pStyle w:val="ListParagraph"/>
        <w:numPr>
          <w:ilvl w:val="0"/>
          <w:numId w:val="14"/>
        </w:numPr>
        <w:jc w:val="both"/>
        <w:rPr>
          <w:rFonts w:cstheme="minorHAnsi"/>
          <w:sz w:val="26"/>
          <w:szCs w:val="26"/>
        </w:rPr>
      </w:pPr>
      <w:r w:rsidRPr="004C54D6">
        <w:rPr>
          <w:rFonts w:ascii="Arial" w:hAnsi="Arial" w:cs="Arial"/>
          <w:bCs/>
          <w:color w:val="000000"/>
          <w:sz w:val="21"/>
          <w:szCs w:val="21"/>
          <w:shd w:val="clear" w:color="auto" w:fill="FFFFFF"/>
        </w:rPr>
        <w:t>Corporate Governance in India</w:t>
      </w:r>
      <w:r w:rsidRPr="004C54D6">
        <w:rPr>
          <w:rFonts w:cstheme="minorHAnsi"/>
          <w:sz w:val="26"/>
          <w:szCs w:val="26"/>
        </w:rPr>
        <w:t xml:space="preserve">- </w:t>
      </w:r>
      <w:proofErr w:type="spellStart"/>
      <w:r w:rsidRPr="004C54D6">
        <w:rPr>
          <w:rFonts w:ascii="Arial" w:hAnsi="Arial" w:cs="Arial"/>
          <w:color w:val="202124"/>
          <w:sz w:val="21"/>
          <w:szCs w:val="21"/>
          <w:shd w:val="clear" w:color="auto" w:fill="FFFFFF"/>
        </w:rPr>
        <w:t>Jayati</w:t>
      </w:r>
      <w:proofErr w:type="spellEnd"/>
      <w:r w:rsidRPr="004C54D6">
        <w:rPr>
          <w:rFonts w:ascii="Arial" w:hAnsi="Arial" w:cs="Arial"/>
          <w:color w:val="202124"/>
          <w:sz w:val="21"/>
          <w:szCs w:val="21"/>
          <w:shd w:val="clear" w:color="auto" w:fill="FFFFFF"/>
        </w:rPr>
        <w:t xml:space="preserve"> </w:t>
      </w:r>
      <w:proofErr w:type="spellStart"/>
      <w:r w:rsidRPr="004C54D6">
        <w:rPr>
          <w:rFonts w:ascii="Arial" w:hAnsi="Arial" w:cs="Arial"/>
          <w:color w:val="202124"/>
          <w:sz w:val="21"/>
          <w:szCs w:val="21"/>
          <w:shd w:val="clear" w:color="auto" w:fill="FFFFFF"/>
        </w:rPr>
        <w:t>Sarkar</w:t>
      </w:r>
      <w:proofErr w:type="spellEnd"/>
      <w:r w:rsidRPr="004C54D6">
        <w:rPr>
          <w:rFonts w:ascii="Arial" w:hAnsi="Arial" w:cs="Arial"/>
          <w:color w:val="202124"/>
          <w:sz w:val="21"/>
          <w:szCs w:val="21"/>
          <w:shd w:val="clear" w:color="auto" w:fill="FFFFFF"/>
        </w:rPr>
        <w:t xml:space="preserve">, </w:t>
      </w:r>
      <w:proofErr w:type="spellStart"/>
      <w:r w:rsidRPr="004C54D6">
        <w:rPr>
          <w:rFonts w:ascii="Arial" w:hAnsi="Arial" w:cs="Arial"/>
          <w:color w:val="202124"/>
          <w:sz w:val="21"/>
          <w:szCs w:val="21"/>
          <w:shd w:val="clear" w:color="auto" w:fill="FFFFFF"/>
        </w:rPr>
        <w:t>Subrata</w:t>
      </w:r>
      <w:proofErr w:type="spellEnd"/>
      <w:r w:rsidRPr="004C54D6">
        <w:rPr>
          <w:rFonts w:ascii="Arial" w:hAnsi="Arial" w:cs="Arial"/>
          <w:color w:val="202124"/>
          <w:sz w:val="21"/>
          <w:szCs w:val="21"/>
          <w:shd w:val="clear" w:color="auto" w:fill="FFFFFF"/>
        </w:rPr>
        <w:t xml:space="preserve"> </w:t>
      </w:r>
      <w:proofErr w:type="spellStart"/>
      <w:r w:rsidRPr="004C54D6">
        <w:rPr>
          <w:rFonts w:ascii="Arial" w:hAnsi="Arial" w:cs="Arial"/>
          <w:color w:val="202124"/>
          <w:sz w:val="21"/>
          <w:szCs w:val="21"/>
          <w:shd w:val="clear" w:color="auto" w:fill="FFFFFF"/>
        </w:rPr>
        <w:t>Sarkar</w:t>
      </w:r>
      <w:proofErr w:type="spellEnd"/>
    </w:p>
    <w:p w:rsidR="00B65492" w:rsidRPr="004C54D6" w:rsidRDefault="00B65492" w:rsidP="004C54D6">
      <w:pPr>
        <w:pStyle w:val="ListParagraph"/>
        <w:numPr>
          <w:ilvl w:val="0"/>
          <w:numId w:val="14"/>
        </w:numPr>
        <w:jc w:val="both"/>
        <w:rPr>
          <w:rFonts w:cstheme="minorHAnsi"/>
          <w:sz w:val="26"/>
          <w:szCs w:val="26"/>
        </w:rPr>
      </w:pPr>
      <w:r w:rsidRPr="004C54D6">
        <w:rPr>
          <w:rFonts w:ascii="Arial" w:hAnsi="Arial" w:cs="Arial"/>
          <w:bCs/>
          <w:color w:val="000000"/>
          <w:sz w:val="21"/>
          <w:szCs w:val="21"/>
          <w:shd w:val="clear" w:color="auto" w:fill="FFFFFF"/>
        </w:rPr>
        <w:t>Corporate Governance in India</w:t>
      </w:r>
      <w:r w:rsidRPr="004C54D6">
        <w:rPr>
          <w:rFonts w:cstheme="minorHAnsi"/>
          <w:sz w:val="26"/>
          <w:szCs w:val="26"/>
        </w:rPr>
        <w:t xml:space="preserve"> AN Evaluation – </w:t>
      </w:r>
      <w:proofErr w:type="spellStart"/>
      <w:r w:rsidRPr="004C54D6">
        <w:rPr>
          <w:rFonts w:cstheme="minorHAnsi"/>
          <w:sz w:val="26"/>
          <w:szCs w:val="26"/>
        </w:rPr>
        <w:t>Subash</w:t>
      </w:r>
      <w:proofErr w:type="spellEnd"/>
      <w:r w:rsidRPr="004C54D6">
        <w:rPr>
          <w:rFonts w:cstheme="minorHAnsi"/>
          <w:sz w:val="26"/>
          <w:szCs w:val="26"/>
        </w:rPr>
        <w:t xml:space="preserve"> Chandra Das</w:t>
      </w:r>
    </w:p>
    <w:p w:rsidR="00B65492" w:rsidRPr="004C54D6" w:rsidRDefault="00B65492" w:rsidP="004C54D6">
      <w:pPr>
        <w:pStyle w:val="ListParagraph"/>
        <w:numPr>
          <w:ilvl w:val="0"/>
          <w:numId w:val="14"/>
        </w:numPr>
        <w:jc w:val="both"/>
        <w:rPr>
          <w:rFonts w:cstheme="minorHAnsi"/>
          <w:sz w:val="26"/>
          <w:szCs w:val="26"/>
        </w:rPr>
      </w:pPr>
      <w:r w:rsidRPr="004C54D6">
        <w:rPr>
          <w:rFonts w:cstheme="minorHAnsi"/>
          <w:sz w:val="26"/>
          <w:szCs w:val="26"/>
        </w:rPr>
        <w:t xml:space="preserve">Corporate Governance principles, policies and practices- BOB </w:t>
      </w:r>
      <w:proofErr w:type="spellStart"/>
      <w:r w:rsidRPr="004C54D6">
        <w:rPr>
          <w:rFonts w:cstheme="minorHAnsi"/>
          <w:sz w:val="26"/>
          <w:szCs w:val="26"/>
        </w:rPr>
        <w:t>Tricker</w:t>
      </w:r>
      <w:proofErr w:type="spellEnd"/>
    </w:p>
    <w:p w:rsidR="00B65492" w:rsidRPr="004C54D6" w:rsidRDefault="00B65492" w:rsidP="004C54D6">
      <w:pPr>
        <w:pStyle w:val="ListParagraph"/>
        <w:numPr>
          <w:ilvl w:val="0"/>
          <w:numId w:val="14"/>
        </w:numPr>
        <w:jc w:val="both"/>
        <w:rPr>
          <w:rFonts w:cstheme="minorHAnsi"/>
          <w:sz w:val="26"/>
          <w:szCs w:val="26"/>
        </w:rPr>
      </w:pPr>
      <w:r w:rsidRPr="004C54D6">
        <w:rPr>
          <w:rFonts w:cstheme="minorHAnsi"/>
          <w:sz w:val="26"/>
          <w:szCs w:val="26"/>
        </w:rPr>
        <w:t>SEBI Regulations on corporate governance- www.sebi.gov.in</w:t>
      </w:r>
    </w:p>
    <w:p w:rsidR="00B65492" w:rsidRDefault="00B65492" w:rsidP="00B65492">
      <w:pPr>
        <w:jc w:val="both"/>
        <w:rPr>
          <w:rFonts w:cstheme="minorHAnsi"/>
          <w:sz w:val="26"/>
          <w:szCs w:val="26"/>
        </w:rPr>
      </w:pPr>
    </w:p>
    <w:p w:rsidR="00B65492" w:rsidRDefault="00B65492" w:rsidP="00B65492">
      <w:pPr>
        <w:jc w:val="both"/>
        <w:rPr>
          <w:rFonts w:cstheme="minorHAnsi"/>
          <w:sz w:val="26"/>
          <w:szCs w:val="26"/>
        </w:rPr>
      </w:pPr>
    </w:p>
    <w:p w:rsidR="00B65492" w:rsidRDefault="00B65492" w:rsidP="00B65492">
      <w:pPr>
        <w:jc w:val="both"/>
        <w:rPr>
          <w:rFonts w:cstheme="minorHAnsi"/>
          <w:sz w:val="26"/>
          <w:szCs w:val="26"/>
        </w:rPr>
      </w:pPr>
    </w:p>
    <w:p w:rsidR="00B65492" w:rsidRDefault="00B65492" w:rsidP="00B65492">
      <w:pPr>
        <w:jc w:val="both"/>
        <w:rPr>
          <w:rFonts w:cstheme="minorHAnsi"/>
          <w:sz w:val="26"/>
          <w:szCs w:val="26"/>
        </w:rPr>
      </w:pPr>
    </w:p>
    <w:p w:rsidR="00B65492" w:rsidRDefault="00B65492" w:rsidP="00B65492">
      <w:pPr>
        <w:jc w:val="both"/>
        <w:rPr>
          <w:rFonts w:cstheme="minorHAnsi"/>
          <w:sz w:val="26"/>
          <w:szCs w:val="26"/>
        </w:rPr>
      </w:pPr>
    </w:p>
    <w:p w:rsidR="00B65492" w:rsidRDefault="00B65492" w:rsidP="00B65492">
      <w:pPr>
        <w:jc w:val="both"/>
        <w:rPr>
          <w:rFonts w:cstheme="minorHAnsi"/>
          <w:sz w:val="26"/>
          <w:szCs w:val="26"/>
        </w:rPr>
      </w:pPr>
    </w:p>
    <w:p w:rsidR="00B65492" w:rsidRPr="00B65492" w:rsidRDefault="00B65492" w:rsidP="00B65492">
      <w:pPr>
        <w:jc w:val="both"/>
        <w:rPr>
          <w:rFonts w:cstheme="minorHAnsi"/>
          <w:sz w:val="26"/>
          <w:szCs w:val="26"/>
        </w:rPr>
      </w:pPr>
    </w:p>
    <w:sectPr w:rsidR="00B65492" w:rsidRPr="00B65492" w:rsidSect="006C61D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7B88"/>
    <w:multiLevelType w:val="multilevel"/>
    <w:tmpl w:val="E0C6C2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14803884"/>
    <w:multiLevelType w:val="hybridMultilevel"/>
    <w:tmpl w:val="BD38A648"/>
    <w:lvl w:ilvl="0" w:tplc="A01E4496">
      <w:numFmt w:val="bullet"/>
      <w:lvlText w:val=""/>
      <w:lvlJc w:val="left"/>
      <w:pPr>
        <w:ind w:left="817" w:hanging="401"/>
      </w:pPr>
      <w:rPr>
        <w:rFonts w:ascii="Wingdings" w:eastAsia="Wingdings" w:hAnsi="Wingdings" w:cs="Wingdings" w:hint="default"/>
        <w:w w:val="100"/>
        <w:sz w:val="18"/>
        <w:szCs w:val="18"/>
        <w:lang w:val="en-US" w:eastAsia="en-US" w:bidi="en-US"/>
      </w:rPr>
    </w:lvl>
    <w:lvl w:ilvl="1" w:tplc="B134C0EE">
      <w:numFmt w:val="bullet"/>
      <w:lvlText w:val="•"/>
      <w:lvlJc w:val="left"/>
      <w:pPr>
        <w:ind w:left="1659" w:hanging="401"/>
      </w:pPr>
      <w:rPr>
        <w:rFonts w:hint="default"/>
        <w:lang w:val="en-US" w:eastAsia="en-US" w:bidi="en-US"/>
      </w:rPr>
    </w:lvl>
    <w:lvl w:ilvl="2" w:tplc="16DEBA9A">
      <w:numFmt w:val="bullet"/>
      <w:lvlText w:val="•"/>
      <w:lvlJc w:val="left"/>
      <w:pPr>
        <w:ind w:left="2498" w:hanging="401"/>
      </w:pPr>
      <w:rPr>
        <w:rFonts w:hint="default"/>
        <w:lang w:val="en-US" w:eastAsia="en-US" w:bidi="en-US"/>
      </w:rPr>
    </w:lvl>
    <w:lvl w:ilvl="3" w:tplc="164E0230">
      <w:numFmt w:val="bullet"/>
      <w:lvlText w:val="•"/>
      <w:lvlJc w:val="left"/>
      <w:pPr>
        <w:ind w:left="3338" w:hanging="401"/>
      </w:pPr>
      <w:rPr>
        <w:rFonts w:hint="default"/>
        <w:lang w:val="en-US" w:eastAsia="en-US" w:bidi="en-US"/>
      </w:rPr>
    </w:lvl>
    <w:lvl w:ilvl="4" w:tplc="3A344A0E">
      <w:numFmt w:val="bullet"/>
      <w:lvlText w:val="•"/>
      <w:lvlJc w:val="left"/>
      <w:pPr>
        <w:ind w:left="4177" w:hanging="401"/>
      </w:pPr>
      <w:rPr>
        <w:rFonts w:hint="default"/>
        <w:lang w:val="en-US" w:eastAsia="en-US" w:bidi="en-US"/>
      </w:rPr>
    </w:lvl>
    <w:lvl w:ilvl="5" w:tplc="93882EE0">
      <w:numFmt w:val="bullet"/>
      <w:lvlText w:val="•"/>
      <w:lvlJc w:val="left"/>
      <w:pPr>
        <w:ind w:left="5017" w:hanging="401"/>
      </w:pPr>
      <w:rPr>
        <w:rFonts w:hint="default"/>
        <w:lang w:val="en-US" w:eastAsia="en-US" w:bidi="en-US"/>
      </w:rPr>
    </w:lvl>
    <w:lvl w:ilvl="6" w:tplc="AE0EBA8E">
      <w:numFmt w:val="bullet"/>
      <w:lvlText w:val="•"/>
      <w:lvlJc w:val="left"/>
      <w:pPr>
        <w:ind w:left="5856" w:hanging="401"/>
      </w:pPr>
      <w:rPr>
        <w:rFonts w:hint="default"/>
        <w:lang w:val="en-US" w:eastAsia="en-US" w:bidi="en-US"/>
      </w:rPr>
    </w:lvl>
    <w:lvl w:ilvl="7" w:tplc="4CF0FFD2">
      <w:numFmt w:val="bullet"/>
      <w:lvlText w:val="•"/>
      <w:lvlJc w:val="left"/>
      <w:pPr>
        <w:ind w:left="6695" w:hanging="401"/>
      </w:pPr>
      <w:rPr>
        <w:rFonts w:hint="default"/>
        <w:lang w:val="en-US" w:eastAsia="en-US" w:bidi="en-US"/>
      </w:rPr>
    </w:lvl>
    <w:lvl w:ilvl="8" w:tplc="E794B198">
      <w:numFmt w:val="bullet"/>
      <w:lvlText w:val="•"/>
      <w:lvlJc w:val="left"/>
      <w:pPr>
        <w:ind w:left="7535" w:hanging="401"/>
      </w:pPr>
      <w:rPr>
        <w:rFonts w:hint="default"/>
        <w:lang w:val="en-US" w:eastAsia="en-US" w:bidi="en-US"/>
      </w:rPr>
    </w:lvl>
  </w:abstractNum>
  <w:abstractNum w:abstractNumId="2">
    <w:nsid w:val="16F31538"/>
    <w:multiLevelType w:val="hybridMultilevel"/>
    <w:tmpl w:val="CBA89306"/>
    <w:lvl w:ilvl="0" w:tplc="E3B2AB34">
      <w:start w:val="1"/>
      <w:numFmt w:val="decimal"/>
      <w:lvlText w:val="%1."/>
      <w:lvlJc w:val="left"/>
      <w:pPr>
        <w:ind w:left="644" w:hanging="360"/>
      </w:pPr>
      <w:rPr>
        <w:rFonts w:ascii="Arial" w:hAnsi="Arial" w:cs="Arial" w:hint="default"/>
        <w:b w:val="0"/>
        <w:color w:val="00000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759B5"/>
    <w:multiLevelType w:val="multilevel"/>
    <w:tmpl w:val="834A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B114A2A"/>
    <w:multiLevelType w:val="multilevel"/>
    <w:tmpl w:val="D5686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C042165"/>
    <w:multiLevelType w:val="hybridMultilevel"/>
    <w:tmpl w:val="CC30C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046B9A"/>
    <w:multiLevelType w:val="hybridMultilevel"/>
    <w:tmpl w:val="A0DA5FB4"/>
    <w:lvl w:ilvl="0" w:tplc="D99A9662">
      <w:numFmt w:val="bullet"/>
      <w:lvlText w:val=""/>
      <w:lvlJc w:val="left"/>
      <w:pPr>
        <w:ind w:left="817" w:hanging="401"/>
      </w:pPr>
      <w:rPr>
        <w:rFonts w:ascii="Wingdings" w:eastAsia="Wingdings" w:hAnsi="Wingdings" w:cs="Wingdings" w:hint="default"/>
        <w:w w:val="100"/>
        <w:sz w:val="18"/>
        <w:szCs w:val="18"/>
        <w:lang w:val="en-US" w:eastAsia="en-US" w:bidi="en-US"/>
      </w:rPr>
    </w:lvl>
    <w:lvl w:ilvl="1" w:tplc="AE2C4604">
      <w:numFmt w:val="bullet"/>
      <w:lvlText w:val="•"/>
      <w:lvlJc w:val="left"/>
      <w:pPr>
        <w:ind w:left="1659" w:hanging="401"/>
      </w:pPr>
      <w:rPr>
        <w:rFonts w:hint="default"/>
        <w:lang w:val="en-US" w:eastAsia="en-US" w:bidi="en-US"/>
      </w:rPr>
    </w:lvl>
    <w:lvl w:ilvl="2" w:tplc="85D82D76">
      <w:numFmt w:val="bullet"/>
      <w:lvlText w:val="•"/>
      <w:lvlJc w:val="left"/>
      <w:pPr>
        <w:ind w:left="2498" w:hanging="401"/>
      </w:pPr>
      <w:rPr>
        <w:rFonts w:hint="default"/>
        <w:lang w:val="en-US" w:eastAsia="en-US" w:bidi="en-US"/>
      </w:rPr>
    </w:lvl>
    <w:lvl w:ilvl="3" w:tplc="93303EB0">
      <w:numFmt w:val="bullet"/>
      <w:lvlText w:val="•"/>
      <w:lvlJc w:val="left"/>
      <w:pPr>
        <w:ind w:left="3338" w:hanging="401"/>
      </w:pPr>
      <w:rPr>
        <w:rFonts w:hint="default"/>
        <w:lang w:val="en-US" w:eastAsia="en-US" w:bidi="en-US"/>
      </w:rPr>
    </w:lvl>
    <w:lvl w:ilvl="4" w:tplc="3D44A8EE">
      <w:numFmt w:val="bullet"/>
      <w:lvlText w:val="•"/>
      <w:lvlJc w:val="left"/>
      <w:pPr>
        <w:ind w:left="4177" w:hanging="401"/>
      </w:pPr>
      <w:rPr>
        <w:rFonts w:hint="default"/>
        <w:lang w:val="en-US" w:eastAsia="en-US" w:bidi="en-US"/>
      </w:rPr>
    </w:lvl>
    <w:lvl w:ilvl="5" w:tplc="66566920">
      <w:numFmt w:val="bullet"/>
      <w:lvlText w:val="•"/>
      <w:lvlJc w:val="left"/>
      <w:pPr>
        <w:ind w:left="5017" w:hanging="401"/>
      </w:pPr>
      <w:rPr>
        <w:rFonts w:hint="default"/>
        <w:lang w:val="en-US" w:eastAsia="en-US" w:bidi="en-US"/>
      </w:rPr>
    </w:lvl>
    <w:lvl w:ilvl="6" w:tplc="8D1858B6">
      <w:numFmt w:val="bullet"/>
      <w:lvlText w:val="•"/>
      <w:lvlJc w:val="left"/>
      <w:pPr>
        <w:ind w:left="5856" w:hanging="401"/>
      </w:pPr>
      <w:rPr>
        <w:rFonts w:hint="default"/>
        <w:lang w:val="en-US" w:eastAsia="en-US" w:bidi="en-US"/>
      </w:rPr>
    </w:lvl>
    <w:lvl w:ilvl="7" w:tplc="B39E65B6">
      <w:numFmt w:val="bullet"/>
      <w:lvlText w:val="•"/>
      <w:lvlJc w:val="left"/>
      <w:pPr>
        <w:ind w:left="6695" w:hanging="401"/>
      </w:pPr>
      <w:rPr>
        <w:rFonts w:hint="default"/>
        <w:lang w:val="en-US" w:eastAsia="en-US" w:bidi="en-US"/>
      </w:rPr>
    </w:lvl>
    <w:lvl w:ilvl="8" w:tplc="716EE7D0">
      <w:numFmt w:val="bullet"/>
      <w:lvlText w:val="•"/>
      <w:lvlJc w:val="left"/>
      <w:pPr>
        <w:ind w:left="7535" w:hanging="401"/>
      </w:pPr>
      <w:rPr>
        <w:rFonts w:hint="default"/>
        <w:lang w:val="en-US" w:eastAsia="en-US" w:bidi="en-US"/>
      </w:rPr>
    </w:lvl>
  </w:abstractNum>
  <w:abstractNum w:abstractNumId="7">
    <w:nsid w:val="43AC57B3"/>
    <w:multiLevelType w:val="hybridMultilevel"/>
    <w:tmpl w:val="4C7E0EC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nsid w:val="49DE142F"/>
    <w:multiLevelType w:val="hybridMultilevel"/>
    <w:tmpl w:val="1B12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E21531"/>
    <w:multiLevelType w:val="hybridMultilevel"/>
    <w:tmpl w:val="5308D6F2"/>
    <w:lvl w:ilvl="0" w:tplc="7CD44C58">
      <w:numFmt w:val="bullet"/>
      <w:lvlText w:val=""/>
      <w:lvlJc w:val="left"/>
      <w:pPr>
        <w:ind w:left="817" w:hanging="360"/>
      </w:pPr>
      <w:rPr>
        <w:rFonts w:ascii="Wingdings" w:eastAsia="Wingdings" w:hAnsi="Wingdings" w:cs="Wingdings" w:hint="default"/>
        <w:w w:val="100"/>
        <w:sz w:val="18"/>
        <w:szCs w:val="18"/>
        <w:lang w:val="en-US" w:eastAsia="en-US" w:bidi="en-US"/>
      </w:rPr>
    </w:lvl>
    <w:lvl w:ilvl="1" w:tplc="27983986">
      <w:numFmt w:val="bullet"/>
      <w:lvlText w:val="•"/>
      <w:lvlJc w:val="left"/>
      <w:pPr>
        <w:ind w:left="1659" w:hanging="360"/>
      </w:pPr>
      <w:rPr>
        <w:rFonts w:hint="default"/>
        <w:lang w:val="en-US" w:eastAsia="en-US" w:bidi="en-US"/>
      </w:rPr>
    </w:lvl>
    <w:lvl w:ilvl="2" w:tplc="1E1C779C">
      <w:numFmt w:val="bullet"/>
      <w:lvlText w:val="•"/>
      <w:lvlJc w:val="left"/>
      <w:pPr>
        <w:ind w:left="2498" w:hanging="360"/>
      </w:pPr>
      <w:rPr>
        <w:rFonts w:hint="default"/>
        <w:lang w:val="en-US" w:eastAsia="en-US" w:bidi="en-US"/>
      </w:rPr>
    </w:lvl>
    <w:lvl w:ilvl="3" w:tplc="313878AA">
      <w:numFmt w:val="bullet"/>
      <w:lvlText w:val="•"/>
      <w:lvlJc w:val="left"/>
      <w:pPr>
        <w:ind w:left="3338" w:hanging="360"/>
      </w:pPr>
      <w:rPr>
        <w:rFonts w:hint="default"/>
        <w:lang w:val="en-US" w:eastAsia="en-US" w:bidi="en-US"/>
      </w:rPr>
    </w:lvl>
    <w:lvl w:ilvl="4" w:tplc="B0A06638">
      <w:numFmt w:val="bullet"/>
      <w:lvlText w:val="•"/>
      <w:lvlJc w:val="left"/>
      <w:pPr>
        <w:ind w:left="4177" w:hanging="360"/>
      </w:pPr>
      <w:rPr>
        <w:rFonts w:hint="default"/>
        <w:lang w:val="en-US" w:eastAsia="en-US" w:bidi="en-US"/>
      </w:rPr>
    </w:lvl>
    <w:lvl w:ilvl="5" w:tplc="E70C617E">
      <w:numFmt w:val="bullet"/>
      <w:lvlText w:val="•"/>
      <w:lvlJc w:val="left"/>
      <w:pPr>
        <w:ind w:left="5017" w:hanging="360"/>
      </w:pPr>
      <w:rPr>
        <w:rFonts w:hint="default"/>
        <w:lang w:val="en-US" w:eastAsia="en-US" w:bidi="en-US"/>
      </w:rPr>
    </w:lvl>
    <w:lvl w:ilvl="6" w:tplc="8CA89580">
      <w:numFmt w:val="bullet"/>
      <w:lvlText w:val="•"/>
      <w:lvlJc w:val="left"/>
      <w:pPr>
        <w:ind w:left="5856" w:hanging="360"/>
      </w:pPr>
      <w:rPr>
        <w:rFonts w:hint="default"/>
        <w:lang w:val="en-US" w:eastAsia="en-US" w:bidi="en-US"/>
      </w:rPr>
    </w:lvl>
    <w:lvl w:ilvl="7" w:tplc="C3FEA040">
      <w:numFmt w:val="bullet"/>
      <w:lvlText w:val="•"/>
      <w:lvlJc w:val="left"/>
      <w:pPr>
        <w:ind w:left="6695" w:hanging="360"/>
      </w:pPr>
      <w:rPr>
        <w:rFonts w:hint="default"/>
        <w:lang w:val="en-US" w:eastAsia="en-US" w:bidi="en-US"/>
      </w:rPr>
    </w:lvl>
    <w:lvl w:ilvl="8" w:tplc="56764950">
      <w:numFmt w:val="bullet"/>
      <w:lvlText w:val="•"/>
      <w:lvlJc w:val="left"/>
      <w:pPr>
        <w:ind w:left="7535" w:hanging="360"/>
      </w:pPr>
      <w:rPr>
        <w:rFonts w:hint="default"/>
        <w:lang w:val="en-US" w:eastAsia="en-US" w:bidi="en-US"/>
      </w:rPr>
    </w:lvl>
  </w:abstractNum>
  <w:abstractNum w:abstractNumId="10">
    <w:nsid w:val="564E3492"/>
    <w:multiLevelType w:val="hybridMultilevel"/>
    <w:tmpl w:val="0A20B2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F77761"/>
    <w:multiLevelType w:val="hybridMultilevel"/>
    <w:tmpl w:val="29C83BF8"/>
    <w:lvl w:ilvl="0" w:tplc="EA1A9530">
      <w:numFmt w:val="bullet"/>
      <w:lvlText w:val=""/>
      <w:lvlJc w:val="left"/>
      <w:pPr>
        <w:ind w:left="817" w:hanging="360"/>
      </w:pPr>
      <w:rPr>
        <w:rFonts w:ascii="Wingdings" w:eastAsia="Wingdings" w:hAnsi="Wingdings" w:cs="Wingdings" w:hint="default"/>
        <w:w w:val="100"/>
        <w:sz w:val="18"/>
        <w:szCs w:val="18"/>
        <w:lang w:val="en-US" w:eastAsia="en-US" w:bidi="en-US"/>
      </w:rPr>
    </w:lvl>
    <w:lvl w:ilvl="1" w:tplc="F932844A">
      <w:numFmt w:val="bullet"/>
      <w:lvlText w:val="•"/>
      <w:lvlJc w:val="left"/>
      <w:pPr>
        <w:ind w:left="1659" w:hanging="360"/>
      </w:pPr>
      <w:rPr>
        <w:rFonts w:hint="default"/>
        <w:lang w:val="en-US" w:eastAsia="en-US" w:bidi="en-US"/>
      </w:rPr>
    </w:lvl>
    <w:lvl w:ilvl="2" w:tplc="9E0487F6">
      <w:numFmt w:val="bullet"/>
      <w:lvlText w:val="•"/>
      <w:lvlJc w:val="left"/>
      <w:pPr>
        <w:ind w:left="2498" w:hanging="360"/>
      </w:pPr>
      <w:rPr>
        <w:rFonts w:hint="default"/>
        <w:lang w:val="en-US" w:eastAsia="en-US" w:bidi="en-US"/>
      </w:rPr>
    </w:lvl>
    <w:lvl w:ilvl="3" w:tplc="4D06335A">
      <w:numFmt w:val="bullet"/>
      <w:lvlText w:val="•"/>
      <w:lvlJc w:val="left"/>
      <w:pPr>
        <w:ind w:left="3338" w:hanging="360"/>
      </w:pPr>
      <w:rPr>
        <w:rFonts w:hint="default"/>
        <w:lang w:val="en-US" w:eastAsia="en-US" w:bidi="en-US"/>
      </w:rPr>
    </w:lvl>
    <w:lvl w:ilvl="4" w:tplc="5EA42D48">
      <w:numFmt w:val="bullet"/>
      <w:lvlText w:val="•"/>
      <w:lvlJc w:val="left"/>
      <w:pPr>
        <w:ind w:left="4177" w:hanging="360"/>
      </w:pPr>
      <w:rPr>
        <w:rFonts w:hint="default"/>
        <w:lang w:val="en-US" w:eastAsia="en-US" w:bidi="en-US"/>
      </w:rPr>
    </w:lvl>
    <w:lvl w:ilvl="5" w:tplc="A0D8E6C4">
      <w:numFmt w:val="bullet"/>
      <w:lvlText w:val="•"/>
      <w:lvlJc w:val="left"/>
      <w:pPr>
        <w:ind w:left="5017" w:hanging="360"/>
      </w:pPr>
      <w:rPr>
        <w:rFonts w:hint="default"/>
        <w:lang w:val="en-US" w:eastAsia="en-US" w:bidi="en-US"/>
      </w:rPr>
    </w:lvl>
    <w:lvl w:ilvl="6" w:tplc="91A88216">
      <w:numFmt w:val="bullet"/>
      <w:lvlText w:val="•"/>
      <w:lvlJc w:val="left"/>
      <w:pPr>
        <w:ind w:left="5856" w:hanging="360"/>
      </w:pPr>
      <w:rPr>
        <w:rFonts w:hint="default"/>
        <w:lang w:val="en-US" w:eastAsia="en-US" w:bidi="en-US"/>
      </w:rPr>
    </w:lvl>
    <w:lvl w:ilvl="7" w:tplc="24E0F93E">
      <w:numFmt w:val="bullet"/>
      <w:lvlText w:val="•"/>
      <w:lvlJc w:val="left"/>
      <w:pPr>
        <w:ind w:left="6695" w:hanging="360"/>
      </w:pPr>
      <w:rPr>
        <w:rFonts w:hint="default"/>
        <w:lang w:val="en-US" w:eastAsia="en-US" w:bidi="en-US"/>
      </w:rPr>
    </w:lvl>
    <w:lvl w:ilvl="8" w:tplc="43CC70B0">
      <w:numFmt w:val="bullet"/>
      <w:lvlText w:val="•"/>
      <w:lvlJc w:val="left"/>
      <w:pPr>
        <w:ind w:left="7535" w:hanging="360"/>
      </w:pPr>
      <w:rPr>
        <w:rFonts w:hint="default"/>
        <w:lang w:val="en-US" w:eastAsia="en-US" w:bidi="en-US"/>
      </w:rPr>
    </w:lvl>
  </w:abstractNum>
  <w:abstractNum w:abstractNumId="12">
    <w:nsid w:val="57774444"/>
    <w:multiLevelType w:val="hybridMultilevel"/>
    <w:tmpl w:val="7110E194"/>
    <w:lvl w:ilvl="0" w:tplc="76E007FA">
      <w:numFmt w:val="bullet"/>
      <w:lvlText w:val=""/>
      <w:lvlJc w:val="left"/>
      <w:pPr>
        <w:ind w:left="817" w:hanging="360"/>
      </w:pPr>
      <w:rPr>
        <w:rFonts w:ascii="Wingdings" w:eastAsia="Wingdings" w:hAnsi="Wingdings" w:cs="Wingdings" w:hint="default"/>
        <w:w w:val="100"/>
        <w:sz w:val="18"/>
        <w:szCs w:val="18"/>
        <w:lang w:val="en-US" w:eastAsia="en-US" w:bidi="en-US"/>
      </w:rPr>
    </w:lvl>
    <w:lvl w:ilvl="1" w:tplc="747E8104">
      <w:numFmt w:val="bullet"/>
      <w:lvlText w:val="•"/>
      <w:lvlJc w:val="left"/>
      <w:pPr>
        <w:ind w:left="1659" w:hanging="360"/>
      </w:pPr>
      <w:rPr>
        <w:rFonts w:hint="default"/>
        <w:lang w:val="en-US" w:eastAsia="en-US" w:bidi="en-US"/>
      </w:rPr>
    </w:lvl>
    <w:lvl w:ilvl="2" w:tplc="FC643224">
      <w:numFmt w:val="bullet"/>
      <w:lvlText w:val="•"/>
      <w:lvlJc w:val="left"/>
      <w:pPr>
        <w:ind w:left="2498" w:hanging="360"/>
      </w:pPr>
      <w:rPr>
        <w:rFonts w:hint="default"/>
        <w:lang w:val="en-US" w:eastAsia="en-US" w:bidi="en-US"/>
      </w:rPr>
    </w:lvl>
    <w:lvl w:ilvl="3" w:tplc="E6D406E4">
      <w:numFmt w:val="bullet"/>
      <w:lvlText w:val="•"/>
      <w:lvlJc w:val="left"/>
      <w:pPr>
        <w:ind w:left="3338" w:hanging="360"/>
      </w:pPr>
      <w:rPr>
        <w:rFonts w:hint="default"/>
        <w:lang w:val="en-US" w:eastAsia="en-US" w:bidi="en-US"/>
      </w:rPr>
    </w:lvl>
    <w:lvl w:ilvl="4" w:tplc="D5A21F1C">
      <w:numFmt w:val="bullet"/>
      <w:lvlText w:val="•"/>
      <w:lvlJc w:val="left"/>
      <w:pPr>
        <w:ind w:left="4177" w:hanging="360"/>
      </w:pPr>
      <w:rPr>
        <w:rFonts w:hint="default"/>
        <w:lang w:val="en-US" w:eastAsia="en-US" w:bidi="en-US"/>
      </w:rPr>
    </w:lvl>
    <w:lvl w:ilvl="5" w:tplc="C9264DFA">
      <w:numFmt w:val="bullet"/>
      <w:lvlText w:val="•"/>
      <w:lvlJc w:val="left"/>
      <w:pPr>
        <w:ind w:left="5017" w:hanging="360"/>
      </w:pPr>
      <w:rPr>
        <w:rFonts w:hint="default"/>
        <w:lang w:val="en-US" w:eastAsia="en-US" w:bidi="en-US"/>
      </w:rPr>
    </w:lvl>
    <w:lvl w:ilvl="6" w:tplc="03C04396">
      <w:numFmt w:val="bullet"/>
      <w:lvlText w:val="•"/>
      <w:lvlJc w:val="left"/>
      <w:pPr>
        <w:ind w:left="5856" w:hanging="360"/>
      </w:pPr>
      <w:rPr>
        <w:rFonts w:hint="default"/>
        <w:lang w:val="en-US" w:eastAsia="en-US" w:bidi="en-US"/>
      </w:rPr>
    </w:lvl>
    <w:lvl w:ilvl="7" w:tplc="59207506">
      <w:numFmt w:val="bullet"/>
      <w:lvlText w:val="•"/>
      <w:lvlJc w:val="left"/>
      <w:pPr>
        <w:ind w:left="6695" w:hanging="360"/>
      </w:pPr>
      <w:rPr>
        <w:rFonts w:hint="default"/>
        <w:lang w:val="en-US" w:eastAsia="en-US" w:bidi="en-US"/>
      </w:rPr>
    </w:lvl>
    <w:lvl w:ilvl="8" w:tplc="EC9A5FB2">
      <w:numFmt w:val="bullet"/>
      <w:lvlText w:val="•"/>
      <w:lvlJc w:val="left"/>
      <w:pPr>
        <w:ind w:left="7535" w:hanging="360"/>
      </w:pPr>
      <w:rPr>
        <w:rFonts w:hint="default"/>
        <w:lang w:val="en-US" w:eastAsia="en-US" w:bidi="en-US"/>
      </w:rPr>
    </w:lvl>
  </w:abstractNum>
  <w:abstractNum w:abstractNumId="13">
    <w:nsid w:val="58EA4D26"/>
    <w:multiLevelType w:val="hybridMultilevel"/>
    <w:tmpl w:val="FE328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F471B2"/>
    <w:multiLevelType w:val="hybridMultilevel"/>
    <w:tmpl w:val="EF10B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0"/>
  </w:num>
  <w:num w:numId="5">
    <w:abstractNumId w:val="13"/>
  </w:num>
  <w:num w:numId="6">
    <w:abstractNumId w:val="14"/>
  </w:num>
  <w:num w:numId="7">
    <w:abstractNumId w:val="4"/>
  </w:num>
  <w:num w:numId="8">
    <w:abstractNumId w:val="7"/>
  </w:num>
  <w:num w:numId="9">
    <w:abstractNumId w:val="9"/>
  </w:num>
  <w:num w:numId="10">
    <w:abstractNumId w:val="1"/>
  </w:num>
  <w:num w:numId="11">
    <w:abstractNumId w:val="11"/>
  </w:num>
  <w:num w:numId="12">
    <w:abstractNumId w:val="12"/>
  </w:num>
  <w:num w:numId="13">
    <w:abstractNumId w:val="6"/>
  </w:num>
  <w:num w:numId="14">
    <w:abstractNumId w:val="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7BB6"/>
    <w:rsid w:val="00067FFE"/>
    <w:rsid w:val="000C014C"/>
    <w:rsid w:val="000D775D"/>
    <w:rsid w:val="00106DB0"/>
    <w:rsid w:val="00155E44"/>
    <w:rsid w:val="001A5A5C"/>
    <w:rsid w:val="001A6209"/>
    <w:rsid w:val="00281300"/>
    <w:rsid w:val="002B7F04"/>
    <w:rsid w:val="002C5C3D"/>
    <w:rsid w:val="00431F3A"/>
    <w:rsid w:val="004A4922"/>
    <w:rsid w:val="004C54D6"/>
    <w:rsid w:val="005B7BB6"/>
    <w:rsid w:val="005D44A9"/>
    <w:rsid w:val="00623288"/>
    <w:rsid w:val="00682D0E"/>
    <w:rsid w:val="006C61D6"/>
    <w:rsid w:val="00794891"/>
    <w:rsid w:val="00833D63"/>
    <w:rsid w:val="00865CBC"/>
    <w:rsid w:val="00966412"/>
    <w:rsid w:val="009E0CF0"/>
    <w:rsid w:val="00A14054"/>
    <w:rsid w:val="00A56E02"/>
    <w:rsid w:val="00A65154"/>
    <w:rsid w:val="00B62120"/>
    <w:rsid w:val="00B65492"/>
    <w:rsid w:val="00BC126E"/>
    <w:rsid w:val="00C10C0F"/>
    <w:rsid w:val="00C25656"/>
    <w:rsid w:val="00C832A6"/>
    <w:rsid w:val="00D8147D"/>
    <w:rsid w:val="00E0654E"/>
    <w:rsid w:val="00E0683D"/>
    <w:rsid w:val="00F030A6"/>
    <w:rsid w:val="00F13526"/>
    <w:rsid w:val="00F215BF"/>
    <w:rsid w:val="00F23CF1"/>
    <w:rsid w:val="00F63476"/>
    <w:rsid w:val="00FC43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1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15BF"/>
    <w:pPr>
      <w:ind w:left="720"/>
      <w:contextualSpacing/>
    </w:pPr>
  </w:style>
  <w:style w:type="paragraph" w:customStyle="1" w:styleId="TableParagraph">
    <w:name w:val="Table Paragraph"/>
    <w:basedOn w:val="Normal"/>
    <w:uiPriority w:val="1"/>
    <w:qFormat/>
    <w:rsid w:val="00C832A6"/>
    <w:pPr>
      <w:widowControl w:val="0"/>
      <w:autoSpaceDE w:val="0"/>
      <w:autoSpaceDN w:val="0"/>
      <w:spacing w:before="109" w:after="0" w:line="240" w:lineRule="auto"/>
      <w:ind w:left="817" w:hanging="361"/>
    </w:pPr>
    <w:rPr>
      <w:rFonts w:ascii="Calibri" w:eastAsia="Calibri" w:hAnsi="Calibri" w:cs="Calibri"/>
      <w:lang w:val="en-US" w:bidi="en-US"/>
    </w:rPr>
  </w:style>
  <w:style w:type="paragraph" w:styleId="NormalWeb">
    <w:name w:val="Normal (Web)"/>
    <w:basedOn w:val="Normal"/>
    <w:uiPriority w:val="99"/>
    <w:semiHidden/>
    <w:unhideWhenUsed/>
    <w:rsid w:val="00C832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6549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9277771">
      <w:bodyDiv w:val="1"/>
      <w:marLeft w:val="0"/>
      <w:marRight w:val="0"/>
      <w:marTop w:val="0"/>
      <w:marBottom w:val="0"/>
      <w:divBdr>
        <w:top w:val="none" w:sz="0" w:space="0" w:color="auto"/>
        <w:left w:val="none" w:sz="0" w:space="0" w:color="auto"/>
        <w:bottom w:val="none" w:sz="0" w:space="0" w:color="auto"/>
        <w:right w:val="none" w:sz="0" w:space="0" w:color="auto"/>
      </w:divBdr>
    </w:div>
    <w:div w:id="856237050">
      <w:bodyDiv w:val="1"/>
      <w:marLeft w:val="0"/>
      <w:marRight w:val="0"/>
      <w:marTop w:val="0"/>
      <w:marBottom w:val="0"/>
      <w:divBdr>
        <w:top w:val="none" w:sz="0" w:space="0" w:color="auto"/>
        <w:left w:val="none" w:sz="0" w:space="0" w:color="auto"/>
        <w:bottom w:val="none" w:sz="0" w:space="0" w:color="auto"/>
        <w:right w:val="none" w:sz="0" w:space="0" w:color="auto"/>
      </w:divBdr>
    </w:div>
    <w:div w:id="200324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9</cp:revision>
  <cp:lastPrinted>2021-07-16T02:57:00Z</cp:lastPrinted>
  <dcterms:created xsi:type="dcterms:W3CDTF">2020-11-29T00:49:00Z</dcterms:created>
  <dcterms:modified xsi:type="dcterms:W3CDTF">2021-07-16T02:59:00Z</dcterms:modified>
</cp:coreProperties>
</file>